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C" w:rsidRDefault="0007704C" w:rsidP="0007704C">
      <w:pPr>
        <w:pStyle w:val="a4"/>
        <w:ind w:right="-710"/>
        <w:rPr>
          <w:rFonts w:ascii="Times New Roman" w:hAnsi="Times New Roman"/>
          <w:b/>
          <w:sz w:val="28"/>
          <w:szCs w:val="30"/>
          <w:u w:val="single"/>
        </w:rPr>
      </w:pPr>
      <w:bookmarkStart w:id="0" w:name="_Hlk76575555"/>
      <w:r w:rsidRPr="0007704C">
        <w:rPr>
          <w:rFonts w:ascii="Times New Roman" w:hAnsi="Times New Roman"/>
          <w:b/>
          <w:noProof/>
          <w:sz w:val="28"/>
          <w:szCs w:val="3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C73C378" wp14:editId="701E936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90600" cy="12192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1" t="20940" r="34840" b="1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538" w:rsidRPr="0007704C" w:rsidRDefault="00532538" w:rsidP="0007704C">
      <w:pPr>
        <w:pStyle w:val="a4"/>
        <w:ind w:right="-710"/>
        <w:rPr>
          <w:rFonts w:ascii="Times New Roman" w:hAnsi="Times New Roman"/>
          <w:b/>
          <w:sz w:val="28"/>
          <w:szCs w:val="30"/>
          <w:u w:val="single"/>
        </w:rPr>
      </w:pPr>
      <w:r w:rsidRPr="0007704C">
        <w:rPr>
          <w:rFonts w:ascii="Times New Roman" w:hAnsi="Times New Roman"/>
          <w:b/>
          <w:sz w:val="28"/>
          <w:szCs w:val="30"/>
          <w:u w:val="single"/>
        </w:rPr>
        <w:t>Шахтинский городской совет профессиональных управляющих</w:t>
      </w:r>
      <w:r w:rsidR="0007704C" w:rsidRPr="0007704C">
        <w:rPr>
          <w:sz w:val="20"/>
          <w:u w:val="single"/>
        </w:rPr>
        <w:t xml:space="preserve"> </w:t>
      </w:r>
      <w:r w:rsidRPr="0007704C">
        <w:rPr>
          <w:rFonts w:ascii="Times New Roman" w:hAnsi="Times New Roman"/>
          <w:b/>
          <w:sz w:val="28"/>
          <w:szCs w:val="30"/>
          <w:u w:val="single"/>
        </w:rPr>
        <w:t>МКД</w:t>
      </w:r>
    </w:p>
    <w:p w:rsidR="00532538" w:rsidRPr="00532538" w:rsidRDefault="00532538" w:rsidP="00532538">
      <w:pPr>
        <w:pStyle w:val="a4"/>
      </w:pPr>
      <w:r w:rsidRPr="0007704C">
        <w:rPr>
          <w:sz w:val="24"/>
          <w:szCs w:val="26"/>
        </w:rPr>
        <w:t xml:space="preserve">346500,Ростовская обл. </w:t>
      </w:r>
      <w:proofErr w:type="spellStart"/>
      <w:r w:rsidRPr="0007704C">
        <w:rPr>
          <w:sz w:val="24"/>
          <w:szCs w:val="26"/>
        </w:rPr>
        <w:t>г.Шахты</w:t>
      </w:r>
      <w:proofErr w:type="spellEnd"/>
      <w:r w:rsidRPr="0007704C">
        <w:rPr>
          <w:sz w:val="24"/>
          <w:szCs w:val="26"/>
        </w:rPr>
        <w:t>,</w:t>
      </w:r>
      <w:r w:rsidR="0007704C" w:rsidRPr="0007704C">
        <w:rPr>
          <w:sz w:val="24"/>
          <w:szCs w:val="26"/>
        </w:rPr>
        <w:t xml:space="preserve"> </w:t>
      </w:r>
      <w:r w:rsidRPr="0007704C">
        <w:rPr>
          <w:sz w:val="24"/>
          <w:szCs w:val="26"/>
        </w:rPr>
        <w:t>ул.</w:t>
      </w:r>
      <w:r w:rsidR="0007704C" w:rsidRPr="0007704C">
        <w:rPr>
          <w:sz w:val="24"/>
          <w:szCs w:val="26"/>
        </w:rPr>
        <w:t xml:space="preserve"> </w:t>
      </w:r>
      <w:r w:rsidRPr="0007704C">
        <w:rPr>
          <w:sz w:val="24"/>
          <w:szCs w:val="26"/>
        </w:rPr>
        <w:t xml:space="preserve">Советская д 136 к 10 </w:t>
      </w:r>
      <w:r w:rsidR="0007704C" w:rsidRPr="0007704C">
        <w:rPr>
          <w:sz w:val="24"/>
          <w:szCs w:val="26"/>
        </w:rPr>
        <w:t xml:space="preserve">;89034349960; </w:t>
      </w:r>
      <w:proofErr w:type="spellStart"/>
      <w:r w:rsidR="0007704C" w:rsidRPr="0007704C">
        <w:rPr>
          <w:sz w:val="24"/>
          <w:szCs w:val="26"/>
        </w:rPr>
        <w:t>наза</w:t>
      </w:r>
      <w:r w:rsidRPr="0007704C">
        <w:rPr>
          <w:sz w:val="24"/>
          <w:szCs w:val="26"/>
        </w:rPr>
        <w:t>щиту.рф</w:t>
      </w:r>
      <w:proofErr w:type="spellEnd"/>
      <w:r w:rsidRPr="00532538">
        <w:br w:type="textWrapping" w:clear="all"/>
      </w:r>
    </w:p>
    <w:p w:rsidR="00B13E84" w:rsidRDefault="00B13E84" w:rsidP="000770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исх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="001803AF">
        <w:rPr>
          <w:rFonts w:ascii="Times New Roman" w:hAnsi="Times New Roman"/>
          <w:sz w:val="24"/>
          <w:szCs w:val="24"/>
        </w:rPr>
        <w:t>29/01/22/1</w:t>
      </w:r>
    </w:p>
    <w:p w:rsidR="00B13E84" w:rsidRPr="00FB52B8" w:rsidRDefault="001803AF" w:rsidP="00077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29.01.2022</w:t>
      </w:r>
      <w:r w:rsidR="00B13E84">
        <w:rPr>
          <w:rFonts w:ascii="Times New Roman" w:hAnsi="Times New Roman"/>
          <w:sz w:val="24"/>
          <w:szCs w:val="24"/>
        </w:rPr>
        <w:t>г</w:t>
      </w:r>
    </w:p>
    <w:p w:rsidR="00B13E84" w:rsidRDefault="00B13E84" w:rsidP="0007704C">
      <w:pPr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13E84" w:rsidRDefault="00B13E84" w:rsidP="0007704C">
      <w:pPr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7704C" w:rsidRPr="0007704C" w:rsidRDefault="0007704C" w:rsidP="0007704C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 w:rsidRPr="0007704C">
        <w:rPr>
          <w:rFonts w:ascii="Times New Roman" w:hAnsi="Times New Roman"/>
          <w:sz w:val="28"/>
          <w:szCs w:val="28"/>
        </w:rPr>
        <w:t>И.О. Министра ЖКХ</w:t>
      </w:r>
    </w:p>
    <w:p w:rsidR="0007704C" w:rsidRDefault="0007704C" w:rsidP="0007704C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BD67D6" w:rsidRDefault="00BD67D6" w:rsidP="0007704C">
      <w:pPr>
        <w:spacing w:after="0"/>
        <w:ind w:left="56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844461" w:rsidRPr="000B15F2" w:rsidRDefault="00844461" w:rsidP="0007704C">
      <w:pPr>
        <w:spacing w:after="0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Орлову С.П.</w:t>
      </w:r>
      <w:bookmarkEnd w:id="0"/>
    </w:p>
    <w:p w:rsidR="00BD67D6" w:rsidRDefault="00BD67D6" w:rsidP="0007704C">
      <w:pPr>
        <w:spacing w:after="0"/>
        <w:ind w:left="567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461" w:rsidRDefault="00844461" w:rsidP="0007704C">
      <w:pPr>
        <w:spacing w:after="0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61">
        <w:rPr>
          <w:rFonts w:ascii="Times New Roman" w:eastAsia="Times New Roman" w:hAnsi="Times New Roman"/>
          <w:sz w:val="28"/>
          <w:szCs w:val="28"/>
          <w:lang w:eastAsia="ru-RU"/>
        </w:rPr>
        <w:t>Уважаемый Сергей Петрович!</w:t>
      </w:r>
    </w:p>
    <w:p w:rsidR="000B15F2" w:rsidRPr="00844461" w:rsidRDefault="000B15F2" w:rsidP="0007704C">
      <w:pPr>
        <w:spacing w:after="0"/>
        <w:ind w:left="56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3E8" w:rsidRDefault="00FD2AB1" w:rsidP="0007704C">
      <w:pPr>
        <w:spacing w:after="0" w:line="240" w:lineRule="auto"/>
        <w:ind w:left="567"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</w:t>
      </w:r>
      <w:r w:rsidR="00844461" w:rsidRPr="000B15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Губернатор Ростовской области </w:t>
      </w:r>
      <w:r w:rsidR="00844461" w:rsidRPr="008444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Голубев</w:t>
      </w:r>
      <w:r w:rsidR="00844461" w:rsidRPr="000B15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В. </w:t>
      </w:r>
      <w:r w:rsidR="000B15F2" w:rsidRPr="000B15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пресс-конференции 27.01.2022 г в очередной раз</w:t>
      </w:r>
      <w:r w:rsidR="00844461" w:rsidRPr="008444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заявил о неизбежности подъёма тарифа на капремонт в 2 раза</w:t>
      </w:r>
      <w:r w:rsidR="000B15F2" w:rsidRPr="000B15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="000B15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15F2" w:rsidRDefault="000B15F2" w:rsidP="0007704C">
      <w:pPr>
        <w:spacing w:after="0" w:line="240" w:lineRule="auto"/>
        <w:ind w:left="567" w:firstLine="709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Однако вопрос капитального ремонта общего имущества МКД необходимо рассматривать не только в экономическом измерении, но и в социальном.</w:t>
      </w:r>
    </w:p>
    <w:p w:rsidR="000B15F2" w:rsidRPr="0007704C" w:rsidRDefault="000B15F2" w:rsidP="0007704C">
      <w:pPr>
        <w:spacing w:after="0"/>
        <w:ind w:left="567" w:firstLine="709"/>
        <w:rPr>
          <w:rFonts w:ascii="Times New Roman" w:hAnsi="Times New Roman"/>
          <w:color w:val="000000"/>
          <w:sz w:val="24"/>
          <w:szCs w:val="24"/>
        </w:rPr>
      </w:pPr>
      <w:r w:rsidRPr="000B15F2">
        <w:rPr>
          <w:rFonts w:ascii="Times New Roman" w:hAnsi="Times New Roman"/>
          <w:color w:val="000000"/>
          <w:sz w:val="24"/>
          <w:szCs w:val="24"/>
        </w:rPr>
        <w:t>Взнос на капитальный ремонт – это не налог и не сбор, так как не обладает всеми характерными для них признаками. Этот платеж имеет строго целевое назначение и, в конечном счете, расходуется в интересах самих собственников.</w:t>
      </w:r>
    </w:p>
    <w:p w:rsidR="001803AF" w:rsidRDefault="000B15F2" w:rsidP="0007704C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>Собственник должен нести обязанности по содержанию своего недвижимого имущества, а не имущества соседа по улице, городу и региону.</w:t>
      </w:r>
      <w:r w:rsidRPr="000B15F2">
        <w:t xml:space="preserve"> </w:t>
      </w: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 случае уплаты взносов в </w:t>
      </w:r>
    </w:p>
    <w:p w:rsidR="000B15F2" w:rsidRDefault="000B15F2" w:rsidP="0007704C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>региональный фонд собственник вкладывает свои средства в капитализацию чужой жилплощади.</w:t>
      </w:r>
    </w:p>
    <w:p w:rsidR="00B5283C" w:rsidRPr="00B5283C" w:rsidRDefault="00B5283C" w:rsidP="0007704C">
      <w:pPr>
        <w:spacing w:after="0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/>
          <w:b/>
          <w:sz w:val="24"/>
          <w:szCs w:val="24"/>
          <w:lang w:eastAsia="ru-RU"/>
        </w:rPr>
        <w:t>Почему повышение тарифа распространяется и на тех, у кого на доме открыт специальный счет, и они сами формируют свой тариф. И, допустим, собственники МКД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83C">
        <w:rPr>
          <w:rFonts w:ascii="Times New Roman" w:eastAsia="Times New Roman" w:hAnsi="Times New Roman"/>
          <w:b/>
          <w:sz w:val="24"/>
          <w:szCs w:val="24"/>
          <w:lang w:eastAsia="ru-RU"/>
        </w:rPr>
        <w:t>не согласны с повышением тарифа, так как для них он не обоснован, и не требуется.</w:t>
      </w:r>
    </w:p>
    <w:p w:rsidR="00BD67D6" w:rsidRDefault="000B15F2" w:rsidP="0007704C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>Необходимо иметь ввиду, что размер обязательного взноса на капитальный ремонт общего имущества МКД носит не только экономический, но и политический характер.</w:t>
      </w:r>
      <w:r w:rsidRPr="000B15F2">
        <w:t xml:space="preserve"> </w:t>
      </w: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поток со стороны собственников помещений в случае увеличения взноса на </w:t>
      </w:r>
      <w:r w:rsidR="00425CF1">
        <w:rPr>
          <w:rFonts w:ascii="Times New Roman" w:eastAsia="Times New Roman" w:hAnsi="Times New Roman"/>
          <w:sz w:val="24"/>
          <w:szCs w:val="24"/>
          <w:lang w:eastAsia="ru-RU"/>
        </w:rPr>
        <w:t>100%</w:t>
      </w:r>
      <w:r w:rsidRPr="000B15F2">
        <w:rPr>
          <w:rFonts w:ascii="Times New Roman" w:eastAsia="Times New Roman" w:hAnsi="Times New Roman"/>
          <w:sz w:val="24"/>
          <w:szCs w:val="24"/>
          <w:lang w:eastAsia="ru-RU"/>
        </w:rPr>
        <w:t xml:space="preserve"> даст только определенную </w:t>
      </w:r>
      <w:r w:rsidR="00C112CC">
        <w:rPr>
          <w:rFonts w:ascii="Times New Roman" w:eastAsia="Times New Roman" w:hAnsi="Times New Roman"/>
          <w:sz w:val="24"/>
          <w:szCs w:val="24"/>
          <w:lang w:eastAsia="ru-RU"/>
        </w:rPr>
        <w:t>скорее всего меньшую часть денег. Кроме этого ожидается повышение тариф</w:t>
      </w:r>
      <w:r w:rsidR="00BD67D6">
        <w:rPr>
          <w:rFonts w:ascii="Times New Roman" w:eastAsia="Times New Roman" w:hAnsi="Times New Roman"/>
          <w:sz w:val="24"/>
          <w:szCs w:val="24"/>
          <w:lang w:eastAsia="ru-RU"/>
        </w:rPr>
        <w:t>а на услуги по обращению с ТКО.</w:t>
      </w:r>
    </w:p>
    <w:p w:rsidR="000B15F2" w:rsidRPr="000B15F2" w:rsidRDefault="00C112CC" w:rsidP="0007704C">
      <w:pPr>
        <w:spacing w:after="0"/>
        <w:ind w:lef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это отразится на платежах, </w:t>
      </w:r>
      <w:r w:rsidR="000B15F2" w:rsidRPr="000B15F2">
        <w:rPr>
          <w:rFonts w:ascii="Times New Roman" w:eastAsia="Times New Roman" w:hAnsi="Times New Roman"/>
          <w:sz w:val="24"/>
          <w:szCs w:val="24"/>
          <w:lang w:eastAsia="ru-RU"/>
        </w:rPr>
        <w:t>так как собираемость</w:t>
      </w:r>
      <w:r w:rsidR="00BD67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</w:t>
      </w:r>
      <w:r w:rsidR="000B15F2" w:rsidRPr="000B15F2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 от доли жилищно- коммунальных услуг в совокупном доходе семьи. Все, что получится от повышения тарифов – это повышение нагрузки на региональный и муниципальный бюджеты из-за увеличения объема субсидий и социальную напряженность.</w:t>
      </w:r>
    </w:p>
    <w:p w:rsidR="000B15F2" w:rsidRPr="000B15F2" w:rsidRDefault="000B15F2" w:rsidP="0007704C">
      <w:pPr>
        <w:spacing w:after="0"/>
        <w:ind w:left="567" w:firstLine="709"/>
        <w:rPr>
          <w:rFonts w:ascii="Times New Roman" w:hAnsi="Times New Roman"/>
          <w:sz w:val="24"/>
          <w:szCs w:val="24"/>
        </w:rPr>
      </w:pPr>
      <w:r w:rsidRPr="000B15F2">
        <w:rPr>
          <w:rFonts w:ascii="Times New Roman" w:hAnsi="Times New Roman"/>
          <w:sz w:val="24"/>
          <w:szCs w:val="24"/>
        </w:rPr>
        <w:t xml:space="preserve">Практика показывает, что в настоящее время любые долгосрочные накопления, в том числе накопление средств на капитальный ремонт </w:t>
      </w:r>
      <w:r w:rsidR="00BD67D6">
        <w:rPr>
          <w:rFonts w:ascii="Times New Roman" w:hAnsi="Times New Roman"/>
          <w:sz w:val="24"/>
          <w:szCs w:val="24"/>
        </w:rPr>
        <w:t xml:space="preserve">что на счете фонда, что </w:t>
      </w:r>
      <w:r w:rsidRPr="000B15F2">
        <w:rPr>
          <w:rFonts w:ascii="Times New Roman" w:hAnsi="Times New Roman"/>
          <w:sz w:val="24"/>
          <w:szCs w:val="24"/>
        </w:rPr>
        <w:t>на индивидуальном счете МКД, являются слишком рискованными. Даже если индивидуальный счет или счет регионального оператора сделать депозитным, т.е. начислять проценты на сумму с момента ее зачисления и на остаток, темпы инфляции не позволят не только приумножить, но и сохранить накопления.</w:t>
      </w:r>
    </w:p>
    <w:p w:rsidR="000B15F2" w:rsidRPr="000B15F2" w:rsidRDefault="000B15F2" w:rsidP="0007704C">
      <w:pPr>
        <w:spacing w:after="0"/>
        <w:ind w:left="567" w:firstLine="709"/>
        <w:rPr>
          <w:rFonts w:ascii="Times New Roman" w:hAnsi="Times New Roman"/>
          <w:sz w:val="24"/>
          <w:szCs w:val="24"/>
        </w:rPr>
      </w:pPr>
      <w:r w:rsidRPr="000B15F2">
        <w:rPr>
          <w:rFonts w:ascii="Times New Roman" w:hAnsi="Times New Roman"/>
          <w:sz w:val="24"/>
          <w:szCs w:val="24"/>
        </w:rPr>
        <w:lastRenderedPageBreak/>
        <w:t>Кроме того, в накопительной схеме финансирования капитального ремонта в любом ее варианте всегда возникает проблема несоответствия стоимости капитального ремонта размеру накопленных средств.</w:t>
      </w:r>
    </w:p>
    <w:p w:rsidR="00BD67D6" w:rsidRDefault="00BD67D6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A89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124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абз.2 </w:t>
      </w:r>
      <w:r w:rsidRPr="00124A89">
        <w:rPr>
          <w:rFonts w:ascii="Times New Roman" w:hAnsi="Times New Roman"/>
          <w:sz w:val="24"/>
          <w:szCs w:val="24"/>
        </w:rPr>
        <w:t>п 2.</w:t>
      </w:r>
      <w:r w:rsidRPr="00124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124A89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сновными функциями общественных советов являются: </w:t>
      </w:r>
      <w:r w:rsidRPr="00BD67D6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общественной экспертизы</w:t>
      </w:r>
      <w:r w:rsidRPr="00124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областных законов, правовых актов Губернатора Ростовской области и Правительства Ростовской области, разрабатываемых органами исполнительной власти Ростовской области, проектов правовых актов и иных решений органов исполнительной власти Ростовской области, направляемых в общественные советы соответствующими органами исполнительной власти Ростовской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</w:t>
      </w:r>
      <w:r w:rsidRPr="00124A89">
        <w:rPr>
          <w:rFonts w:ascii="Times New Roman" w:hAnsi="Times New Roman"/>
          <w:sz w:val="24"/>
          <w:szCs w:val="24"/>
        </w:rPr>
        <w:t>«Положения</w:t>
      </w:r>
      <w:r>
        <w:rPr>
          <w:rFonts w:ascii="Times New Roman" w:hAnsi="Times New Roman"/>
          <w:sz w:val="24"/>
          <w:szCs w:val="24"/>
        </w:rPr>
        <w:t xml:space="preserve"> об общественных советах </w:t>
      </w:r>
      <w:r w:rsidRPr="00124A89">
        <w:rPr>
          <w:rFonts w:ascii="Times New Roman" w:hAnsi="Times New Roman"/>
          <w:sz w:val="24"/>
          <w:szCs w:val="24"/>
        </w:rPr>
        <w:t>при органах исполнительной власти Ростовской области (</w:t>
      </w:r>
      <w:r w:rsidRPr="00124A8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 от 10.10.2013 № 632)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Однако подготовка вопроса о повышении взноса на капитальный ремонт и сегодня для общественных организаций остается тайной за семью печатями.</w:t>
      </w:r>
    </w:p>
    <w:p w:rsidR="00B5283C" w:rsidRPr="009713E8" w:rsidRDefault="00B5283C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r w:rsidRPr="009713E8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проведения общественной экспертизы повышения тарифа</w:t>
      </w:r>
      <w:r w:rsidR="009713E8" w:rsidRPr="00971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1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необходимо </w:t>
      </w:r>
      <w:r w:rsidR="009713E8" w:rsidRPr="009713E8">
        <w:rPr>
          <w:rFonts w:ascii="Times New Roman" w:eastAsia="Times New Roman" w:hAnsi="Times New Roman"/>
          <w:b/>
          <w:sz w:val="24"/>
          <w:szCs w:val="24"/>
          <w:lang w:eastAsia="ru-RU"/>
        </w:rPr>
        <w:t>изучить расчеты и обоснования увеличения тарифа на капитальный ремонт. Просим сообщить, на каком открытом информационном ресурсе мы можем ознакомиться с расчетными данными.</w:t>
      </w:r>
    </w:p>
    <w:bookmarkEnd w:id="1"/>
    <w:p w:rsidR="0007704C" w:rsidRDefault="008C4F91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704C" w:rsidRDefault="008C4F91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за« </w:t>
      </w:r>
      <w:r w:rsidR="009713E8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="00971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 w:rsidR="009713E8">
        <w:rPr>
          <w:rFonts w:ascii="Times New Roman" w:eastAsia="Times New Roman" w:hAnsi="Times New Roman"/>
          <w:sz w:val="24"/>
          <w:szCs w:val="24"/>
          <w:lang w:eastAsia="ru-RU"/>
        </w:rPr>
        <w:t>ой экспертизы</w:t>
      </w:r>
      <w:r w:rsidR="00B528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тарифа»</w:t>
      </w:r>
    </w:p>
    <w:p w:rsidR="0007704C" w:rsidRDefault="0007704C" w:rsidP="0007704C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8C4F91" w:rsidP="009713E8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Ми</w:t>
      </w:r>
      <w:r w:rsidR="009713E8">
        <w:rPr>
          <w:rFonts w:ascii="Times New Roman" w:eastAsia="Times New Roman" w:hAnsi="Times New Roman"/>
          <w:sz w:val="24"/>
          <w:szCs w:val="24"/>
          <w:lang w:eastAsia="ru-RU"/>
        </w:rPr>
        <w:t>нистру ЖКХ Ростовской области подписи за проведение общественной экспертизы повышения тарифа:</w:t>
      </w:r>
    </w:p>
    <w:p w:rsidR="008C4F91" w:rsidRDefault="008C4F91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8C4F91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9713E8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Министру ЖКХ Ростовской области подписи за проведение общественной экспертизы повышения тарифа:</w:t>
      </w: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F91" w:rsidRDefault="008C4F91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3E8" w:rsidRDefault="009713E8" w:rsidP="0007704C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5A" w:rsidRDefault="0040775A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4C" w:rsidRDefault="0007704C" w:rsidP="0007704C">
      <w:pPr>
        <w:tabs>
          <w:tab w:val="left" w:pos="0"/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CD0" w:rsidRDefault="00FC3CD0" w:rsidP="0007704C">
      <w:pPr>
        <w:ind w:left="567" w:firstLine="709"/>
      </w:pPr>
    </w:p>
    <w:p w:rsidR="0007704C" w:rsidRDefault="0007704C" w:rsidP="0007704C">
      <w:pPr>
        <w:ind w:left="567" w:firstLine="709"/>
      </w:pPr>
    </w:p>
    <w:p w:rsidR="00BD67D6" w:rsidRDefault="00BD67D6"/>
    <w:p w:rsidR="0007704C" w:rsidRDefault="0007704C"/>
    <w:p w:rsidR="00BD67D6" w:rsidRDefault="00BD67D6"/>
    <w:sectPr w:rsidR="00BD67D6" w:rsidSect="00FD2AB1">
      <w:footerReference w:type="default" r:id="rId8"/>
      <w:pgSz w:w="11906" w:h="16838"/>
      <w:pgMar w:top="426" w:right="99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AB" w:rsidRDefault="00620CAB" w:rsidP="0007704C">
      <w:pPr>
        <w:spacing w:after="0" w:line="240" w:lineRule="auto"/>
      </w:pPr>
      <w:r>
        <w:separator/>
      </w:r>
    </w:p>
  </w:endnote>
  <w:endnote w:type="continuationSeparator" w:id="0">
    <w:p w:rsidR="00620CAB" w:rsidRDefault="00620CAB" w:rsidP="0007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4192"/>
      <w:docPartObj>
        <w:docPartGallery w:val="Page Numbers (Bottom of Page)"/>
        <w:docPartUnique/>
      </w:docPartObj>
    </w:sdtPr>
    <w:sdtEndPr/>
    <w:sdtContent>
      <w:p w:rsidR="0007704C" w:rsidRDefault="000770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E8">
          <w:rPr>
            <w:noProof/>
          </w:rPr>
          <w:t>5</w:t>
        </w:r>
        <w:r>
          <w:fldChar w:fldCharType="end"/>
        </w:r>
      </w:p>
    </w:sdtContent>
  </w:sdt>
  <w:p w:rsidR="0007704C" w:rsidRDefault="000770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AB" w:rsidRDefault="00620CAB" w:rsidP="0007704C">
      <w:pPr>
        <w:spacing w:after="0" w:line="240" w:lineRule="auto"/>
      </w:pPr>
      <w:r>
        <w:separator/>
      </w:r>
    </w:p>
  </w:footnote>
  <w:footnote w:type="continuationSeparator" w:id="0">
    <w:p w:rsidR="00620CAB" w:rsidRDefault="00620CAB" w:rsidP="0007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1"/>
    <w:rsid w:val="0007704C"/>
    <w:rsid w:val="000B15F2"/>
    <w:rsid w:val="00124A89"/>
    <w:rsid w:val="001803AF"/>
    <w:rsid w:val="00271570"/>
    <w:rsid w:val="0040775A"/>
    <w:rsid w:val="00425CF1"/>
    <w:rsid w:val="00532538"/>
    <w:rsid w:val="00620CAB"/>
    <w:rsid w:val="006D5027"/>
    <w:rsid w:val="00740CCC"/>
    <w:rsid w:val="00844461"/>
    <w:rsid w:val="008C4F91"/>
    <w:rsid w:val="009713E8"/>
    <w:rsid w:val="00B13E84"/>
    <w:rsid w:val="00B5283C"/>
    <w:rsid w:val="00BA2769"/>
    <w:rsid w:val="00BD67D6"/>
    <w:rsid w:val="00C112CC"/>
    <w:rsid w:val="00C45045"/>
    <w:rsid w:val="00D30F5F"/>
    <w:rsid w:val="00DD0B61"/>
    <w:rsid w:val="00FC3CD0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96BB"/>
  <w15:chartTrackingRefBased/>
  <w15:docId w15:val="{26AC459A-9C68-9542-A6CE-1891C7F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4461"/>
    <w:rPr>
      <w:color w:val="0000FF"/>
      <w:u w:val="single"/>
    </w:rPr>
  </w:style>
  <w:style w:type="character" w:customStyle="1" w:styleId="2">
    <w:name w:val="Заголовок №2_"/>
    <w:link w:val="20"/>
    <w:rsid w:val="000B15F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1">
    <w:name w:val="Заголовок №2 + Малые прописные"/>
    <w:rsid w:val="000B15F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0B15F2"/>
    <w:pPr>
      <w:widowControl w:val="0"/>
      <w:shd w:val="clear" w:color="auto" w:fill="FFFFFF"/>
      <w:spacing w:before="540" w:after="360" w:line="245" w:lineRule="exact"/>
      <w:jc w:val="center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No Spacing"/>
    <w:uiPriority w:val="1"/>
    <w:qFormat/>
    <w:rsid w:val="0053253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7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0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7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04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F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0C2F-CE87-43C4-91A0-47F24F8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Links>
    <vt:vector size="12" baseType="variant">
      <vt:variant>
        <vt:i4>69796954</vt:i4>
      </vt:variant>
      <vt:variant>
        <vt:i4>3</vt:i4>
      </vt:variant>
      <vt:variant>
        <vt:i4>0</vt:i4>
      </vt:variant>
      <vt:variant>
        <vt:i4>5</vt:i4>
      </vt:variant>
      <vt:variant>
        <vt:lpwstr>http://www.фондкрро.рф/pomosh/summa-zachislennykh-platezhey/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mailto:ataman49@mail.ru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Мой ПК</cp:lastModifiedBy>
  <cp:revision>4</cp:revision>
  <cp:lastPrinted>2022-02-01T07:54:00Z</cp:lastPrinted>
  <dcterms:created xsi:type="dcterms:W3CDTF">2022-01-29T09:30:00Z</dcterms:created>
  <dcterms:modified xsi:type="dcterms:W3CDTF">2022-02-01T12:33:00Z</dcterms:modified>
</cp:coreProperties>
</file>